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513FD" w:rsidRDefault="00D8233F" w:rsidP="00D82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8233F">
        <w:rPr>
          <w:rFonts w:eastAsiaTheme="minorHAnsi"/>
          <w:b/>
          <w:bCs/>
          <w:sz w:val="28"/>
          <w:szCs w:val="28"/>
          <w:lang w:eastAsia="en-US"/>
        </w:rPr>
        <w:t>11.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par paralēlā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perpendikulārā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taisnēm un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risinot praktiska </w:t>
      </w:r>
      <w:r w:rsidRPr="00D8233F">
        <w:rPr>
          <w:rFonts w:eastAsiaTheme="minorHAnsi"/>
          <w:b/>
          <w:bCs/>
          <w:sz w:val="28"/>
          <w:szCs w:val="28"/>
          <w:lang w:eastAsia="en-US"/>
        </w:rPr>
        <w:t>satura uzdevumus.</w:t>
      </w:r>
    </w:p>
    <w:p w:rsidR="00D8233F" w:rsidRPr="00D8233F" w:rsidRDefault="00D8233F" w:rsidP="00D82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D210E2" w:rsidRPr="00D8233F" w:rsidRDefault="00D8233F" w:rsidP="00D8233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8233F">
        <w:rPr>
          <w:rFonts w:eastAsia="MyriadPro-Regular"/>
          <w:sz w:val="28"/>
          <w:szCs w:val="28"/>
          <w:lang w:eastAsia="en-US"/>
        </w:rPr>
        <w:t>11.1. Nosauc apkārtējā</w:t>
      </w:r>
      <w:r>
        <w:rPr>
          <w:rFonts w:eastAsia="MyriadPro-Regular"/>
          <w:sz w:val="28"/>
          <w:szCs w:val="28"/>
          <w:lang w:eastAsia="en-US"/>
        </w:rPr>
        <w:t xml:space="preserve">s vides objektus, kuros </w:t>
      </w:r>
      <w:r w:rsidRPr="00D8233F">
        <w:rPr>
          <w:rFonts w:eastAsia="MyriadPro-Regular"/>
          <w:sz w:val="28"/>
          <w:szCs w:val="28"/>
          <w:lang w:eastAsia="en-US"/>
        </w:rPr>
        <w:t>saskatāmas paralēlas taisnes!</w:t>
      </w:r>
    </w:p>
    <w:p w:rsidR="006849CC" w:rsidRPr="006849CC" w:rsidRDefault="006849CC" w:rsidP="006849C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6849CC" w:rsidRPr="006849C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8233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33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8233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823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703118"/>
    <w:rsid w:val="007217DD"/>
    <w:rsid w:val="00781B2F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5B65-1117-4CC3-BB74-DC8A297F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2011-06-16T12:27:00Z</dcterms:created>
  <dcterms:modified xsi:type="dcterms:W3CDTF">2011-06-16T12:27:00Z</dcterms:modified>
</cp:coreProperties>
</file>