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Saskata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kombinatorikas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pielietojumu dažādās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jomās (automašī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numuru,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kodu sastādīš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A214CD">
        <w:rPr>
          <w:rFonts w:eastAsiaTheme="minorHAnsi"/>
          <w:b/>
          <w:bCs/>
          <w:sz w:val="28"/>
          <w:szCs w:val="28"/>
          <w:lang w:eastAsia="en-US"/>
        </w:rPr>
        <w:t>u. tml.).</w:t>
      </w:r>
    </w:p>
    <w:p w:rsidR="00A214CD" w:rsidRDefault="00A214CD" w:rsidP="00A214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A214C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A214CD" w:rsidRPr="00A214CD" w:rsidRDefault="00A214CD" w:rsidP="00A214C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214CD">
        <w:rPr>
          <w:rFonts w:eastAsia="MyriadPro-Regular"/>
          <w:sz w:val="28"/>
          <w:szCs w:val="28"/>
          <w:lang w:eastAsia="en-US"/>
        </w:rPr>
        <w:t>11.1. Nosauc dzīves jomas vai konkrē</w:t>
      </w:r>
      <w:r>
        <w:rPr>
          <w:rFonts w:eastAsia="MyriadPro-Regular"/>
          <w:sz w:val="28"/>
          <w:szCs w:val="28"/>
          <w:lang w:eastAsia="en-US"/>
        </w:rPr>
        <w:t xml:space="preserve">tas </w:t>
      </w:r>
      <w:r w:rsidRPr="00A214CD">
        <w:rPr>
          <w:rFonts w:eastAsia="MyriadPro-Regular"/>
          <w:sz w:val="28"/>
          <w:szCs w:val="28"/>
          <w:lang w:eastAsia="en-US"/>
        </w:rPr>
        <w:t>situācijas, kurās tiek izmantota</w:t>
      </w:r>
    </w:p>
    <w:p w:rsidR="003D557B" w:rsidRPr="00A214CD" w:rsidRDefault="00A214CD" w:rsidP="00A214CD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A214CD">
        <w:rPr>
          <w:rFonts w:eastAsia="MyriadPro-Regular"/>
          <w:sz w:val="28"/>
          <w:szCs w:val="28"/>
          <w:lang w:eastAsia="en-US"/>
        </w:rPr>
        <w:t>kombinatorika!</w:t>
      </w:r>
    </w:p>
    <w:sectPr w:rsidR="003D557B" w:rsidRPr="00A214C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214C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4C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214C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214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ABDB-F221-4936-9F06-ADD9C0C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2011-06-16T15:23:00Z</dcterms:created>
  <dcterms:modified xsi:type="dcterms:W3CDTF">2011-06-16T15:23:00Z</dcterms:modified>
</cp:coreProperties>
</file>