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75590" w:rsidRDefault="003A00D6" w:rsidP="003A00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A00D6">
        <w:rPr>
          <w:rFonts w:eastAsiaTheme="minorHAnsi"/>
          <w:b/>
          <w:bCs/>
          <w:sz w:val="28"/>
          <w:szCs w:val="28"/>
          <w:lang w:eastAsia="en-US"/>
        </w:rPr>
        <w:t>7. Izveido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das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izlases ar noteiktā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īpašībām no neliela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skaita elementiem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zīmējot, modelē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jot,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spriežot.</w:t>
      </w:r>
    </w:p>
    <w:p w:rsidR="003A00D6" w:rsidRPr="003A00D6" w:rsidRDefault="003A00D6" w:rsidP="003A00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7547F5" w:rsidRPr="00CD51F7" w:rsidRDefault="00CD51F7" w:rsidP="00CD51F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D51F7">
        <w:rPr>
          <w:rFonts w:eastAsia="MyriadPro-Regular"/>
          <w:sz w:val="28"/>
          <w:szCs w:val="28"/>
          <w:lang w:eastAsia="en-US"/>
        </w:rPr>
        <w:t>7.3. Kvadrāts ir sadalīts 9 vienādos kvadrā</w:t>
      </w:r>
      <w:r>
        <w:rPr>
          <w:rFonts w:eastAsia="MyriadPro-Regular"/>
          <w:sz w:val="28"/>
          <w:szCs w:val="28"/>
          <w:lang w:eastAsia="en-US"/>
        </w:rPr>
        <w:t xml:space="preserve">tos. </w:t>
      </w:r>
      <w:r w:rsidRPr="00CD51F7">
        <w:rPr>
          <w:rFonts w:eastAsia="MyriadPro-Regular"/>
          <w:sz w:val="28"/>
          <w:szCs w:val="28"/>
          <w:lang w:eastAsia="en-US"/>
        </w:rPr>
        <w:t>Iekrāso šos kvadrātus vienā no trim krāsā</w:t>
      </w:r>
      <w:r>
        <w:rPr>
          <w:rFonts w:eastAsia="MyriadPro-Regular"/>
          <w:sz w:val="28"/>
          <w:szCs w:val="28"/>
          <w:lang w:eastAsia="en-US"/>
        </w:rPr>
        <w:t xml:space="preserve">m: </w:t>
      </w:r>
      <w:r w:rsidRPr="00CD51F7">
        <w:rPr>
          <w:rFonts w:eastAsia="MyriadPro-Regular"/>
          <w:sz w:val="28"/>
          <w:szCs w:val="28"/>
          <w:lang w:eastAsia="en-US"/>
        </w:rPr>
        <w:t>melnā, baltā vai sarkanā krāsās tā, lai katrā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D51F7">
        <w:rPr>
          <w:rFonts w:eastAsia="MyriadPro-Regular"/>
          <w:sz w:val="28"/>
          <w:szCs w:val="28"/>
          <w:lang w:eastAsia="en-US"/>
        </w:rPr>
        <w:t>rindā un katrā kolonnā būtu kvadrāti visā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CD51F7">
        <w:rPr>
          <w:rFonts w:eastAsia="MyriadPro-Regular"/>
          <w:sz w:val="28"/>
          <w:szCs w:val="28"/>
          <w:lang w:eastAsia="en-US"/>
        </w:rPr>
        <w:t>trīs krāsas! Izveido vismaz divus dažā</w:t>
      </w:r>
      <w:r>
        <w:rPr>
          <w:rFonts w:eastAsia="MyriadPro-Regular"/>
          <w:sz w:val="28"/>
          <w:szCs w:val="28"/>
          <w:lang w:eastAsia="en-US"/>
        </w:rPr>
        <w:t xml:space="preserve">dus </w:t>
      </w:r>
      <w:r w:rsidRPr="00CD51F7">
        <w:rPr>
          <w:rFonts w:eastAsia="MyriadPro-Regular"/>
          <w:sz w:val="28"/>
          <w:szCs w:val="28"/>
          <w:lang w:eastAsia="en-US"/>
        </w:rPr>
        <w:t>kvadrāta krāsojumus atbilstoš</w:t>
      </w:r>
      <w:r>
        <w:rPr>
          <w:rFonts w:eastAsia="MyriadPro-Regular"/>
          <w:sz w:val="28"/>
          <w:szCs w:val="28"/>
          <w:lang w:eastAsia="en-US"/>
        </w:rPr>
        <w:t xml:space="preserve">i dotajiem </w:t>
      </w:r>
      <w:r w:rsidRPr="00CD51F7">
        <w:rPr>
          <w:rFonts w:eastAsia="MyriadPro-Regular"/>
          <w:sz w:val="28"/>
          <w:szCs w:val="28"/>
          <w:lang w:eastAsia="en-US"/>
        </w:rPr>
        <w:t>nosacījumiem!</w:t>
      </w:r>
      <w:r w:rsidR="0075746C" w:rsidRPr="00CD51F7">
        <w:rPr>
          <w:rFonts w:eastAsia="MyriadPro-Regular"/>
          <w:sz w:val="28"/>
          <w:szCs w:val="28"/>
          <w:lang w:eastAsia="en-US"/>
        </w:rPr>
        <w:t>!</w:t>
      </w:r>
    </w:p>
    <w:sectPr w:rsidR="007547F5" w:rsidRPr="00CD51F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D51F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1F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D51F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D51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BBCF-3AFF-4CF9-AEE1-2CAD5818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2011-06-16T15:10:00Z</dcterms:created>
  <dcterms:modified xsi:type="dcterms:W3CDTF">2011-06-16T15:10:00Z</dcterms:modified>
</cp:coreProperties>
</file>