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7. Pēta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funkcijas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kx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grafiku novietojumu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koordinātu plaknē</w:t>
      </w:r>
    </w:p>
    <w:p w:rsidR="00C26C69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atkarībā no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parametru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vērtībām.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864307" w:rsidRDefault="00864307" w:rsidP="0086430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64307">
        <w:rPr>
          <w:rFonts w:eastAsia="MyriadPro-Regular"/>
          <w:sz w:val="28"/>
          <w:szCs w:val="28"/>
          <w:lang w:eastAsia="en-US"/>
        </w:rPr>
        <w:t xml:space="preserve">7.2. Zīmējumā attēloti funkciju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64307">
        <w:rPr>
          <w:rFonts w:eastAsia="MyriadPro-Regular"/>
          <w:sz w:val="28"/>
          <w:szCs w:val="28"/>
          <w:lang w:eastAsia="en-US"/>
        </w:rPr>
        <w:t>= 2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>x</w:t>
      </w:r>
      <w:r w:rsidRPr="00864307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64307">
        <w:rPr>
          <w:rFonts w:eastAsia="MyriadPro-Regular"/>
          <w:sz w:val="28"/>
          <w:szCs w:val="28"/>
          <w:lang w:eastAsia="en-US"/>
        </w:rPr>
        <w:t xml:space="preserve">= </w:t>
      </w:r>
      <w:r w:rsidRPr="00864307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 id="_x0000_i1102" type="#_x0000_t75" style="width:12pt;height:30.75pt" o:ole="">
            <v:imagedata r:id="rId8" o:title=""/>
          </v:shape>
          <o:OLEObject Type="Embed" ProgID="Equation.3" ShapeID="_x0000_i1102" DrawAspect="Content" ObjectID="_1369815613" r:id="rId9"/>
        </w:object>
      </w:r>
      <w:r w:rsidRPr="00864307">
        <w:rPr>
          <w:rFonts w:eastAsia="MyriadPro-It"/>
          <w:i/>
          <w:iCs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lang w:eastAsia="en-US"/>
        </w:rPr>
        <w:t xml:space="preserve">  ,  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64307">
        <w:rPr>
          <w:rFonts w:eastAsia="MyriadPro-Regular"/>
          <w:sz w:val="28"/>
          <w:szCs w:val="28"/>
          <w:lang w:eastAsia="en-US"/>
        </w:rPr>
        <w:t>= 4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64307">
        <w:rPr>
          <w:rFonts w:eastAsia="MyriadPro-Regular"/>
          <w:sz w:val="28"/>
          <w:szCs w:val="28"/>
          <w:lang w:eastAsia="en-US"/>
        </w:rPr>
        <w:t>grafiki.</w:t>
      </w:r>
    </w:p>
    <w:p w:rsidR="00864307" w:rsidRDefault="00864307" w:rsidP="0086430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82556" cy="2771775"/>
            <wp:effectExtent l="19050" t="0" r="8294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5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07" w:rsidRPr="00864307" w:rsidRDefault="00864307" w:rsidP="0086430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864307" w:rsidRPr="00864307" w:rsidRDefault="00864307" w:rsidP="0086430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64307">
        <w:rPr>
          <w:rFonts w:eastAsia="MyriadPro-Regular"/>
          <w:sz w:val="28"/>
          <w:szCs w:val="28"/>
          <w:lang w:eastAsia="en-US"/>
        </w:rPr>
        <w:t>a) Noskaidro, katrai funkcijai atbilstošo grafiku!</w:t>
      </w:r>
    </w:p>
    <w:p w:rsidR="00864307" w:rsidRPr="00864307" w:rsidRDefault="00864307" w:rsidP="0086430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64307">
        <w:rPr>
          <w:rFonts w:eastAsia="MyriadPro-Regular"/>
          <w:sz w:val="28"/>
          <w:szCs w:val="28"/>
          <w:lang w:eastAsia="en-US"/>
        </w:rPr>
        <w:t xml:space="preserve">b) Prognozē funkciju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64307">
        <w:rPr>
          <w:rFonts w:eastAsia="MyriadPro-Regular"/>
          <w:sz w:val="28"/>
          <w:szCs w:val="28"/>
          <w:lang w:eastAsia="en-US"/>
        </w:rPr>
        <w:t>= 0,01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64307">
        <w:rPr>
          <w:rFonts w:eastAsia="MyriadPro-Regular"/>
          <w:sz w:val="28"/>
          <w:szCs w:val="28"/>
          <w:lang w:eastAsia="en-US"/>
        </w:rPr>
        <w:t xml:space="preserve">un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64307">
        <w:rPr>
          <w:rFonts w:eastAsia="MyriadPro-Regular"/>
          <w:sz w:val="28"/>
          <w:szCs w:val="28"/>
          <w:lang w:eastAsia="en-US"/>
        </w:rPr>
        <w:t>= 10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grafiku </w:t>
      </w:r>
      <w:r w:rsidRPr="00864307">
        <w:rPr>
          <w:rFonts w:eastAsia="MyriadPro-Regular"/>
          <w:sz w:val="28"/>
          <w:szCs w:val="28"/>
          <w:lang w:eastAsia="en-US"/>
        </w:rPr>
        <w:t>novietojumu un uzskicē tos!</w:t>
      </w:r>
    </w:p>
    <w:p w:rsidR="00813937" w:rsidRPr="00864307" w:rsidRDefault="00864307" w:rsidP="0086430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64307">
        <w:rPr>
          <w:rFonts w:eastAsia="MyriadPro-Regular"/>
          <w:sz w:val="28"/>
          <w:szCs w:val="28"/>
          <w:lang w:eastAsia="en-US"/>
        </w:rPr>
        <w:t xml:space="preserve">c) Secini, kā mainās funkcijas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64307">
        <w:rPr>
          <w:rFonts w:eastAsia="MyriadPro-Regular"/>
          <w:sz w:val="28"/>
          <w:szCs w:val="28"/>
          <w:lang w:eastAsia="en-US"/>
        </w:rPr>
        <w:t xml:space="preserve">=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kx </w:t>
      </w:r>
      <w:r>
        <w:rPr>
          <w:rFonts w:eastAsia="MyriadPro-Regular"/>
          <w:sz w:val="28"/>
          <w:szCs w:val="28"/>
          <w:lang w:eastAsia="en-US"/>
        </w:rPr>
        <w:t xml:space="preserve">grafika </w:t>
      </w:r>
      <w:r w:rsidRPr="00864307">
        <w:rPr>
          <w:rFonts w:eastAsia="MyriadPro-Regular"/>
          <w:sz w:val="28"/>
          <w:szCs w:val="28"/>
          <w:lang w:eastAsia="en-US"/>
        </w:rPr>
        <w:t xml:space="preserve">novietojums, atkarībā no parametra </w:t>
      </w:r>
      <w:r w:rsidRPr="00864307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864307">
        <w:rPr>
          <w:rFonts w:eastAsia="MyriadPro-Regular"/>
          <w:sz w:val="28"/>
          <w:szCs w:val="28"/>
          <w:lang w:eastAsia="en-US"/>
        </w:rPr>
        <w:t>maiņas!</w:t>
      </w:r>
    </w:p>
    <w:sectPr w:rsidR="00813937" w:rsidRPr="00864307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6430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307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86430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643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5380-37AF-42B4-961B-DA6E509B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2011-06-17T08:34:00Z</dcterms:created>
  <dcterms:modified xsi:type="dcterms:W3CDTF">2011-06-17T08:34:00Z</dcterms:modified>
</cp:coreProperties>
</file>