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6785E" w:rsidRPr="0066785E" w:rsidRDefault="0066785E" w:rsidP="00667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6785E">
        <w:rPr>
          <w:rFonts w:eastAsiaTheme="minorHAnsi"/>
          <w:b/>
          <w:bCs/>
          <w:sz w:val="28"/>
          <w:szCs w:val="28"/>
          <w:lang w:eastAsia="en-US"/>
        </w:rPr>
        <w:t>3.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pamatojot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divu figūru simetriju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vai to, ka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ir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simetriska.</w:t>
      </w:r>
    </w:p>
    <w:p w:rsidR="0066785E" w:rsidRDefault="0066785E" w:rsidP="0066785E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66785E" w:rsidRDefault="00FD3CDE" w:rsidP="009C4309">
      <w:pPr>
        <w:rPr>
          <w:i/>
          <w:sz w:val="28"/>
          <w:szCs w:val="28"/>
        </w:rPr>
      </w:pPr>
    </w:p>
    <w:p w:rsidR="00CE7CCA" w:rsidRDefault="0066785E" w:rsidP="0066785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785E">
        <w:rPr>
          <w:rFonts w:eastAsia="MyriadPro-Regular"/>
          <w:sz w:val="28"/>
          <w:szCs w:val="28"/>
          <w:lang w:eastAsia="en-US"/>
        </w:rPr>
        <w:t>3.1. Apraksti zīmējumā attē</w:t>
      </w:r>
      <w:r>
        <w:rPr>
          <w:rFonts w:eastAsia="MyriadPro-Regular"/>
          <w:sz w:val="28"/>
          <w:szCs w:val="28"/>
          <w:lang w:eastAsia="en-US"/>
        </w:rPr>
        <w:t xml:space="preserve">loto simetriju pret </w:t>
      </w:r>
      <w:r w:rsidRPr="0066785E">
        <w:rPr>
          <w:rFonts w:eastAsia="MyriadPro-Regular"/>
          <w:sz w:val="28"/>
          <w:szCs w:val="28"/>
          <w:lang w:eastAsia="en-US"/>
        </w:rPr>
        <w:t>taisni!</w:t>
      </w:r>
    </w:p>
    <w:p w:rsidR="0066785E" w:rsidRDefault="0066785E" w:rsidP="0066785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6785E" w:rsidRPr="0066785E" w:rsidRDefault="0066785E" w:rsidP="0066785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66227" cy="199072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27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85E" w:rsidRPr="0066785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6785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85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6785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67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F5AC-6A9F-428F-AC74-ABED743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2011-06-17T09:07:00Z</dcterms:created>
  <dcterms:modified xsi:type="dcterms:W3CDTF">2011-06-17T09:07:00Z</dcterms:modified>
</cp:coreProperties>
</file>