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5A0444" w:rsidRDefault="001D3068" w:rsidP="001D306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3068">
        <w:rPr>
          <w:rFonts w:eastAsiaTheme="minorHAnsi"/>
          <w:b/>
          <w:bCs/>
          <w:sz w:val="28"/>
          <w:szCs w:val="28"/>
          <w:lang w:eastAsia="en-US"/>
        </w:rPr>
        <w:t>5. Izmanto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informācijas avotus,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lai iegūtu 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par simetriju dabā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tehnikā, mākslā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arhitektūrā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ikdienas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dzīvē un prezentē to.</w:t>
      </w:r>
    </w:p>
    <w:p w:rsidR="001D3068" w:rsidRPr="001D3068" w:rsidRDefault="001D3068" w:rsidP="001D306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35A25" w:rsidRDefault="00C35A25" w:rsidP="0066785E">
      <w:pPr>
        <w:rPr>
          <w:i/>
          <w:sz w:val="28"/>
          <w:szCs w:val="28"/>
        </w:rPr>
      </w:pPr>
    </w:p>
    <w:p w:rsidR="005A0444" w:rsidRDefault="00C35A25" w:rsidP="00C35A2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35A25">
        <w:rPr>
          <w:rFonts w:eastAsia="MyriadPro-Regular"/>
          <w:sz w:val="28"/>
          <w:szCs w:val="28"/>
          <w:lang w:eastAsia="en-US"/>
        </w:rPr>
        <w:t>5.2. Atrodi internetā vai mākslas enciklopēdijā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C35A25">
        <w:rPr>
          <w:rFonts w:eastAsia="MyriadPro-Regular"/>
          <w:sz w:val="28"/>
          <w:szCs w:val="28"/>
          <w:lang w:eastAsia="en-US"/>
        </w:rPr>
        <w:t>mākslas darbu piemērus, kur saskatā</w:t>
      </w:r>
      <w:r>
        <w:rPr>
          <w:rFonts w:eastAsia="MyriadPro-Regular"/>
          <w:sz w:val="28"/>
          <w:szCs w:val="28"/>
          <w:lang w:eastAsia="en-US"/>
        </w:rPr>
        <w:t xml:space="preserve">ma </w:t>
      </w:r>
      <w:r w:rsidRPr="00C35A25">
        <w:rPr>
          <w:rFonts w:eastAsia="MyriadPro-Regular"/>
          <w:sz w:val="28"/>
          <w:szCs w:val="28"/>
          <w:lang w:eastAsia="en-US"/>
        </w:rPr>
        <w:t>simetrija pret punktu, kur – simetrija pr</w:t>
      </w:r>
      <w:r>
        <w:rPr>
          <w:rFonts w:eastAsia="MyriadPro-Regular"/>
          <w:sz w:val="28"/>
          <w:szCs w:val="28"/>
          <w:lang w:eastAsia="en-US"/>
        </w:rPr>
        <w:t xml:space="preserve">et </w:t>
      </w:r>
      <w:r w:rsidRPr="00C35A25">
        <w:rPr>
          <w:rFonts w:eastAsia="MyriadPro-Regular"/>
          <w:sz w:val="28"/>
          <w:szCs w:val="28"/>
          <w:lang w:eastAsia="en-US"/>
        </w:rPr>
        <w:t>taisni, kur –</w:t>
      </w:r>
      <w:r>
        <w:rPr>
          <w:rFonts w:eastAsia="MyriadPro-Regular"/>
          <w:sz w:val="28"/>
          <w:szCs w:val="28"/>
          <w:lang w:eastAsia="en-US"/>
        </w:rPr>
        <w:t xml:space="preserve"> gan simetrija pret punktu, gan </w:t>
      </w:r>
      <w:r w:rsidRPr="00C35A25">
        <w:rPr>
          <w:rFonts w:eastAsia="MyriadPro-Regular"/>
          <w:sz w:val="28"/>
          <w:szCs w:val="28"/>
          <w:lang w:eastAsia="en-US"/>
        </w:rPr>
        <w:t>simetrija pret taisni! Iegūto informā</w:t>
      </w:r>
      <w:r>
        <w:rPr>
          <w:rFonts w:eastAsia="MyriadPro-Regular"/>
          <w:sz w:val="28"/>
          <w:szCs w:val="28"/>
          <w:lang w:eastAsia="en-US"/>
        </w:rPr>
        <w:t xml:space="preserve">ciju </w:t>
      </w:r>
      <w:r w:rsidRPr="00C35A25">
        <w:rPr>
          <w:rFonts w:eastAsia="MyriadPro-Regular"/>
          <w:sz w:val="28"/>
          <w:szCs w:val="28"/>
          <w:lang w:eastAsia="en-US"/>
        </w:rPr>
        <w:t>apkopo, izmantojot Venna diagrammu!</w:t>
      </w:r>
    </w:p>
    <w:p w:rsidR="00571892" w:rsidRDefault="00571892" w:rsidP="00571892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571892" w:rsidRPr="00C35A25" w:rsidRDefault="00571892" w:rsidP="00571892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923560" cy="1647825"/>
            <wp:effectExtent l="1905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6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892" w:rsidRPr="00C35A2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7189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89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7189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718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08E7-09F9-4432-AA2D-7C467417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3</cp:revision>
  <dcterms:created xsi:type="dcterms:W3CDTF">2011-06-17T09:13:00Z</dcterms:created>
  <dcterms:modified xsi:type="dcterms:W3CDTF">2011-06-17T09:14:00Z</dcterms:modified>
</cp:coreProperties>
</file>