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249A1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Izmanto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simetriju,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ornamentus, </w:t>
      </w:r>
      <w:r w:rsidRPr="004D3BF9">
        <w:rPr>
          <w:rFonts w:eastAsiaTheme="minorHAnsi"/>
          <w:b/>
          <w:bCs/>
          <w:sz w:val="28"/>
          <w:szCs w:val="28"/>
          <w:lang w:eastAsia="en-US"/>
        </w:rPr>
        <w:t>šablonus u.tml.</w:t>
      </w:r>
    </w:p>
    <w:p w:rsidR="004D3BF9" w:rsidRPr="004D3BF9" w:rsidRDefault="004D3BF9" w:rsidP="004D3BF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4D3BF9" w:rsidRDefault="00A77327" w:rsidP="00A7732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7327">
        <w:rPr>
          <w:rFonts w:eastAsia="MyriadPro-Regular"/>
          <w:sz w:val="28"/>
          <w:szCs w:val="28"/>
          <w:lang w:eastAsia="en-US"/>
        </w:rPr>
        <w:t>7.2. Paskaidro kā notiek attēlos redzamo figū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A77327">
        <w:rPr>
          <w:rFonts w:eastAsia="MyriadPro-Regular"/>
          <w:sz w:val="28"/>
          <w:szCs w:val="28"/>
          <w:lang w:eastAsia="en-US"/>
        </w:rPr>
        <w:t>izgriešana, izm</w:t>
      </w:r>
      <w:r>
        <w:rPr>
          <w:rFonts w:eastAsia="MyriadPro-Regular"/>
          <w:sz w:val="28"/>
          <w:szCs w:val="28"/>
          <w:lang w:eastAsia="en-US"/>
        </w:rPr>
        <w:t xml:space="preserve">antojot simetriju un simetrijas </w:t>
      </w:r>
      <w:r w:rsidRPr="00A77327">
        <w:rPr>
          <w:rFonts w:eastAsia="MyriadPro-Regular"/>
          <w:sz w:val="28"/>
          <w:szCs w:val="28"/>
          <w:lang w:eastAsia="en-US"/>
        </w:rPr>
        <w:t>asis!</w:t>
      </w:r>
    </w:p>
    <w:p w:rsidR="00A77327" w:rsidRDefault="00A77327" w:rsidP="00A7732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A77327" w:rsidRPr="00A77327" w:rsidRDefault="00A77327" w:rsidP="00A7732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88506" cy="2343150"/>
            <wp:effectExtent l="19050" t="0" r="2294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506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327" w:rsidRPr="00A7732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7732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32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7732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77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721A-83BC-4BE0-87D4-CDEF27B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2011-06-17T09:21:00Z</dcterms:created>
  <dcterms:modified xsi:type="dcterms:W3CDTF">2011-06-17T09:21:00Z</dcterms:modified>
</cp:coreProperties>
</file>