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Raksturo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simetriju dzīvajā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dabā, tehnikā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mākslā, 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etnogrāfijā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apkārtējā dzīvē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nosaucot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tus </w:t>
      </w:r>
      <w:r w:rsidRPr="00A166D8">
        <w:rPr>
          <w:rFonts w:eastAsiaTheme="minorHAnsi"/>
          <w:b/>
          <w:bCs/>
          <w:sz w:val="28"/>
          <w:szCs w:val="28"/>
          <w:lang w:eastAsia="en-US"/>
        </w:rPr>
        <w:t>piemērus.</w:t>
      </w:r>
    </w:p>
    <w:p w:rsidR="00A166D8" w:rsidRPr="004D3BF9" w:rsidRDefault="00A166D8" w:rsidP="00A166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A166D8" w:rsidRDefault="0068190D" w:rsidP="006819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8190D">
        <w:rPr>
          <w:rFonts w:eastAsia="MyriadPro-Regular"/>
          <w:sz w:val="28"/>
          <w:szCs w:val="28"/>
          <w:lang w:eastAsia="en-US"/>
        </w:rPr>
        <w:t>8.2. Cik un kādas simetrijas tu saskati, aplū</w:t>
      </w:r>
      <w:r>
        <w:rPr>
          <w:rFonts w:eastAsia="MyriadPro-Regular"/>
          <w:sz w:val="28"/>
          <w:szCs w:val="28"/>
          <w:lang w:eastAsia="en-US"/>
        </w:rPr>
        <w:t xml:space="preserve">kojot </w:t>
      </w:r>
      <w:r w:rsidRPr="0068190D">
        <w:rPr>
          <w:rFonts w:eastAsia="MyriadPro-Regular"/>
          <w:sz w:val="28"/>
          <w:szCs w:val="28"/>
          <w:lang w:eastAsia="en-US"/>
        </w:rPr>
        <w:t>šo augu?</w:t>
      </w:r>
    </w:p>
    <w:p w:rsidR="0068190D" w:rsidRDefault="0068190D" w:rsidP="006819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8190D" w:rsidRPr="0068190D" w:rsidRDefault="0068190D" w:rsidP="0068190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237937" cy="2447925"/>
            <wp:effectExtent l="19050" t="0" r="56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37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D8" w:rsidRPr="00A166D8" w:rsidRDefault="00A166D8" w:rsidP="00A166D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A166D8" w:rsidRPr="00A166D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8190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90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8190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81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86BE-013B-4CBF-B147-E07AAA4C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2011-06-17T09:26:00Z</dcterms:created>
  <dcterms:modified xsi:type="dcterms:W3CDTF">2011-06-17T09:26:00Z</dcterms:modified>
</cp:coreProperties>
</file>