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D2337" w:rsidRPr="00AB65D0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B65D0">
        <w:rPr>
          <w:rFonts w:eastAsiaTheme="minorHAnsi"/>
          <w:b/>
          <w:bCs/>
          <w:sz w:val="28"/>
          <w:szCs w:val="28"/>
          <w:lang w:eastAsia="en-US"/>
        </w:rPr>
        <w:t>5.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racionāliem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lietojot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pieraksta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formas.</w:t>
      </w:r>
    </w:p>
    <w:p w:rsidR="00AB65D0" w:rsidRPr="00D476E3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B65D0" w:rsidRPr="00D24C64" w:rsidRDefault="00D24C64" w:rsidP="00D24C64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D24C64">
        <w:rPr>
          <w:rFonts w:eastAsia="MyriadPro-Regular"/>
          <w:sz w:val="28"/>
          <w:szCs w:val="28"/>
          <w:lang w:eastAsia="en-US"/>
        </w:rPr>
        <w:t>5.2. Aprēķini 3% no 72!</w:t>
      </w:r>
    </w:p>
    <w:sectPr w:rsidR="00AB65D0" w:rsidRPr="00D24C6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24C6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4C6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24C6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4C6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B65D0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0F12-F71A-4AAE-84AC-A577F2B8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2011-07-13T19:10:00Z</dcterms:created>
  <dcterms:modified xsi:type="dcterms:W3CDTF">2011-07-13T19:10:00Z</dcterms:modified>
</cp:coreProperties>
</file>