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0AE1" w:rsidRPr="00A40AE1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0AE1">
        <w:rPr>
          <w:rFonts w:eastAsiaTheme="minorHAnsi"/>
          <w:b/>
          <w:bCs/>
          <w:sz w:val="28"/>
          <w:szCs w:val="28"/>
          <w:lang w:eastAsia="en-US"/>
        </w:rPr>
        <w:t>6. Prognozē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aptuveno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un nosaka</w:t>
      </w:r>
    </w:p>
    <w:p w:rsidR="00AB65D0" w:rsidRPr="00A40AE1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0AE1">
        <w:rPr>
          <w:rFonts w:eastAsiaTheme="minorHAnsi"/>
          <w:b/>
          <w:bCs/>
          <w:sz w:val="28"/>
          <w:szCs w:val="28"/>
          <w:lang w:eastAsia="en-US"/>
        </w:rPr>
        <w:t>intervālu, kurā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skaitlis (aritmētiskā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tsakne) </w:t>
      </w:r>
      <w:r w:rsidRPr="00A40AE1">
        <w:rPr>
          <w:rFonts w:eastAsiaTheme="minorHAnsi"/>
          <w:b/>
          <w:bCs/>
          <w:sz w:val="28"/>
          <w:szCs w:val="28"/>
          <w:lang w:eastAsia="en-US"/>
        </w:rPr>
        <w:t>atrodas.</w:t>
      </w:r>
    </w:p>
    <w:p w:rsidR="00A40AE1" w:rsidRPr="00D476E3" w:rsidRDefault="00A40AE1" w:rsidP="00A40A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B65D0" w:rsidRDefault="002948B4" w:rsidP="002948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948B4">
        <w:rPr>
          <w:rFonts w:eastAsia="MyriadPro-Regular"/>
          <w:sz w:val="28"/>
          <w:szCs w:val="28"/>
          <w:lang w:eastAsia="en-US"/>
        </w:rPr>
        <w:t>6.2. Salīdzini!</w:t>
      </w:r>
    </w:p>
    <w:p w:rsidR="002948B4" w:rsidRPr="002948B4" w:rsidRDefault="002948B4" w:rsidP="002948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147890" cy="466725"/>
            <wp:effectExtent l="19050" t="0" r="0" b="0"/>
            <wp:docPr id="76" name="Attēls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88" cy="46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8B4" w:rsidRPr="002948B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948B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948B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948B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948B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DB52-4B6F-4A51-BFDD-D6400702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2011-07-13T19:21:00Z</dcterms:created>
  <dcterms:modified xsi:type="dcterms:W3CDTF">2011-07-13T19:21:00Z</dcterms:modified>
</cp:coreProperties>
</file>