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46E6F" w:rsidRPr="00446E6F" w:rsidRDefault="00446E6F" w:rsidP="00446E6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Pitagora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teorēmu trijstūru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un laukumu</w:t>
      </w:r>
    </w:p>
    <w:p w:rsidR="00E5522D" w:rsidRPr="00446E6F" w:rsidRDefault="00446E6F" w:rsidP="00446E6F">
      <w:pPr>
        <w:rPr>
          <w:rFonts w:eastAsiaTheme="minorHAnsi"/>
          <w:b/>
          <w:bCs/>
          <w:sz w:val="28"/>
          <w:szCs w:val="28"/>
          <w:lang w:eastAsia="en-US"/>
        </w:rPr>
      </w:pPr>
      <w:r w:rsidRPr="00446E6F">
        <w:rPr>
          <w:rFonts w:eastAsiaTheme="minorHAnsi"/>
          <w:b/>
          <w:bCs/>
          <w:sz w:val="28"/>
          <w:szCs w:val="28"/>
          <w:lang w:eastAsia="en-US"/>
        </w:rPr>
        <w:t>aprēķināšanā.</w:t>
      </w:r>
    </w:p>
    <w:p w:rsidR="00446E6F" w:rsidRPr="00DE1EA5" w:rsidRDefault="00446E6F" w:rsidP="00446E6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446E6F" w:rsidRPr="00B2325D" w:rsidRDefault="00B2325D" w:rsidP="00B232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2325D">
        <w:rPr>
          <w:rFonts w:eastAsia="MyriadPro-Regular"/>
          <w:sz w:val="28"/>
          <w:szCs w:val="28"/>
          <w:lang w:eastAsia="en-US"/>
        </w:rPr>
        <w:t>2.2. Romba diagonā</w:t>
      </w:r>
      <w:r>
        <w:rPr>
          <w:rFonts w:eastAsia="MyriadPro-Regular"/>
          <w:sz w:val="28"/>
          <w:szCs w:val="28"/>
          <w:lang w:eastAsia="en-US"/>
        </w:rPr>
        <w:t xml:space="preserve">les ir 18 cm un 80 cm </w:t>
      </w:r>
      <w:r w:rsidRPr="00B2325D">
        <w:rPr>
          <w:rFonts w:eastAsia="MyriadPro-Regular"/>
          <w:sz w:val="28"/>
          <w:szCs w:val="28"/>
          <w:lang w:eastAsia="en-US"/>
        </w:rPr>
        <w:t>garas. Aprēķini romba perimetru!</w:t>
      </w:r>
    </w:p>
    <w:sectPr w:rsidR="00446E6F" w:rsidRPr="00B2325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2325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2325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2325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2325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2011-07-14T18:34:00Z</dcterms:created>
  <dcterms:modified xsi:type="dcterms:W3CDTF">2011-07-14T18:34:00Z</dcterms:modified>
</cp:coreProperties>
</file>