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46E6F" w:rsidRPr="00446E6F" w:rsidRDefault="00446E6F" w:rsidP="00446E6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Pitagora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teorēmu trijstūru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 </w:t>
      </w:r>
      <w:r w:rsidRPr="00446E6F">
        <w:rPr>
          <w:rFonts w:eastAsiaTheme="minorHAnsi"/>
          <w:b/>
          <w:bCs/>
          <w:sz w:val="28"/>
          <w:szCs w:val="28"/>
          <w:lang w:eastAsia="en-US"/>
        </w:rPr>
        <w:t>un laukumu</w:t>
      </w:r>
    </w:p>
    <w:p w:rsidR="00E5522D" w:rsidRPr="00446E6F" w:rsidRDefault="00446E6F" w:rsidP="00446E6F">
      <w:pPr>
        <w:rPr>
          <w:rFonts w:eastAsiaTheme="minorHAnsi"/>
          <w:b/>
          <w:bCs/>
          <w:sz w:val="28"/>
          <w:szCs w:val="28"/>
          <w:lang w:eastAsia="en-US"/>
        </w:rPr>
      </w:pPr>
      <w:r w:rsidRPr="00446E6F">
        <w:rPr>
          <w:rFonts w:eastAsiaTheme="minorHAnsi"/>
          <w:b/>
          <w:bCs/>
          <w:sz w:val="28"/>
          <w:szCs w:val="28"/>
          <w:lang w:eastAsia="en-US"/>
        </w:rPr>
        <w:t>aprēķināšanā.</w:t>
      </w:r>
    </w:p>
    <w:p w:rsidR="00446E6F" w:rsidRPr="00DE1EA5" w:rsidRDefault="00446E6F" w:rsidP="00446E6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446E6F" w:rsidRPr="00F426EC" w:rsidRDefault="00F426EC" w:rsidP="00F426E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426EC">
        <w:rPr>
          <w:rFonts w:eastAsia="MyriadPro-Regular"/>
          <w:sz w:val="28"/>
          <w:szCs w:val="28"/>
          <w:lang w:eastAsia="en-US"/>
        </w:rPr>
        <w:t>2.4. Pamato, ka neeksistē taisnleņķ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F426EC">
        <w:rPr>
          <w:rFonts w:eastAsia="MyriadPro-Regular"/>
          <w:sz w:val="28"/>
          <w:szCs w:val="28"/>
          <w:lang w:eastAsia="en-US"/>
        </w:rPr>
        <w:t>trijstūris ar malu garumiem 5, 7, 9!</w:t>
      </w:r>
    </w:p>
    <w:sectPr w:rsidR="00446E6F" w:rsidRPr="00F426E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426E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426E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426E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426E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426EC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2011-07-14T18:35:00Z</dcterms:created>
  <dcterms:modified xsi:type="dcterms:W3CDTF">2011-07-14T18:35:00Z</dcterms:modified>
</cp:coreProperties>
</file>