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46E6F" w:rsidRPr="00446E6F" w:rsidRDefault="00446E6F" w:rsidP="00446E6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Lieto Pitagora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teorēmu trijstūru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un laukumu</w:t>
      </w:r>
    </w:p>
    <w:p w:rsidR="00E5522D" w:rsidRPr="00446E6F" w:rsidRDefault="00446E6F" w:rsidP="00446E6F">
      <w:pPr>
        <w:rPr>
          <w:rFonts w:eastAsiaTheme="minorHAnsi"/>
          <w:b/>
          <w:bCs/>
          <w:sz w:val="28"/>
          <w:szCs w:val="28"/>
          <w:lang w:eastAsia="en-US"/>
        </w:rPr>
      </w:pPr>
      <w:r w:rsidRPr="00446E6F">
        <w:rPr>
          <w:rFonts w:eastAsiaTheme="minorHAnsi"/>
          <w:b/>
          <w:bCs/>
          <w:sz w:val="28"/>
          <w:szCs w:val="28"/>
          <w:lang w:eastAsia="en-US"/>
        </w:rPr>
        <w:t>aprēķināšanā.</w:t>
      </w:r>
    </w:p>
    <w:p w:rsidR="00446E6F" w:rsidRPr="00DE1EA5" w:rsidRDefault="00446E6F" w:rsidP="00446E6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446E6F" w:rsidRPr="00F64755" w:rsidRDefault="00F64755" w:rsidP="00F64755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F64755">
        <w:rPr>
          <w:rFonts w:eastAsia="MyriadPro-Regular"/>
          <w:sz w:val="28"/>
          <w:szCs w:val="28"/>
          <w:lang w:eastAsia="en-US"/>
        </w:rPr>
        <w:t>2.5. Dots, ka divas no taisnleņķa trijstūra malā</w:t>
      </w:r>
      <w:r>
        <w:rPr>
          <w:rFonts w:eastAsia="MyriadPro-Regular"/>
          <w:sz w:val="28"/>
          <w:szCs w:val="28"/>
          <w:lang w:eastAsia="en-US"/>
        </w:rPr>
        <w:t xml:space="preserve">m ir </w:t>
      </w:r>
      <w:r w:rsidRPr="00F64755">
        <w:rPr>
          <w:rFonts w:eastAsia="MyriadPro-Regular"/>
          <w:sz w:val="28"/>
          <w:szCs w:val="28"/>
          <w:lang w:eastAsia="en-US"/>
        </w:rPr>
        <w:t>2 cm un 6 cm. Aprēķini trešās malas garumu!</w:t>
      </w:r>
    </w:p>
    <w:sectPr w:rsidR="00446E6F" w:rsidRPr="00F6475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6475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6475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6475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6475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2011-07-14T18:36:00Z</dcterms:created>
  <dcterms:modified xsi:type="dcterms:W3CDTF">2011-07-14T18:36:00Z</dcterms:modified>
</cp:coreProperties>
</file>