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C3F8F" w:rsidRPr="002B36B7" w:rsidRDefault="002B36B7" w:rsidP="002B36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Saskata Pitagora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teorēmas praktisko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pielietojumu ikdienā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(attāluma noteikš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taisna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nosprauš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u. c.) un atrisina praktiska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satura uzdevumus.</w:t>
      </w:r>
    </w:p>
    <w:p w:rsidR="002B36B7" w:rsidRPr="00DE1EA5" w:rsidRDefault="002B36B7" w:rsidP="002B36B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A412C" w:rsidRDefault="00E07BD8" w:rsidP="00633C3B">
      <w:pPr>
        <w:rPr>
          <w:i/>
          <w:sz w:val="28"/>
          <w:szCs w:val="28"/>
        </w:rPr>
      </w:pPr>
    </w:p>
    <w:p w:rsidR="00D5589A" w:rsidRPr="00D5589A" w:rsidRDefault="00D5589A" w:rsidP="00D558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5589A">
        <w:rPr>
          <w:rFonts w:eastAsia="MyriadPro-Regular"/>
          <w:sz w:val="28"/>
          <w:szCs w:val="28"/>
          <w:lang w:eastAsia="en-US"/>
        </w:rPr>
        <w:t>9.2. Datora monitora izmērs pa diagonā</w:t>
      </w:r>
      <w:r>
        <w:rPr>
          <w:rFonts w:eastAsia="MyriadPro-Regular"/>
          <w:sz w:val="28"/>
          <w:szCs w:val="28"/>
          <w:lang w:eastAsia="en-US"/>
        </w:rPr>
        <w:t xml:space="preserve">li </w:t>
      </w:r>
      <w:r w:rsidRPr="00D5589A">
        <w:rPr>
          <w:rFonts w:eastAsia="MyriadPro-Regular"/>
          <w:sz w:val="28"/>
          <w:szCs w:val="28"/>
          <w:lang w:eastAsia="en-US"/>
        </w:rPr>
        <w:t>ir 21 colla (1 colla = 2,54 cm). Izrēķini,</w:t>
      </w:r>
    </w:p>
    <w:p w:rsidR="00D5589A" w:rsidRDefault="00D5589A" w:rsidP="00D5589A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D5589A">
        <w:rPr>
          <w:rFonts w:eastAsia="MyriadPro-Regular"/>
          <w:sz w:val="28"/>
          <w:szCs w:val="28"/>
          <w:lang w:eastAsia="en-US"/>
        </w:rPr>
        <w:t>kādi var būt ekrā</w:t>
      </w:r>
      <w:r>
        <w:rPr>
          <w:rFonts w:eastAsia="MyriadPro-Regular"/>
          <w:sz w:val="28"/>
          <w:szCs w:val="28"/>
          <w:lang w:eastAsia="en-US"/>
        </w:rPr>
        <w:t xml:space="preserve">na malu garumi </w:t>
      </w:r>
      <w:r w:rsidRPr="00D5589A">
        <w:rPr>
          <w:rFonts w:eastAsia="MyriadPro-Regular"/>
          <w:sz w:val="28"/>
          <w:szCs w:val="28"/>
          <w:lang w:eastAsia="en-US"/>
        </w:rPr>
        <w:t>atkarībā no tā</w:t>
      </w:r>
      <w:r>
        <w:rPr>
          <w:rFonts w:eastAsia="MyriadPro-Regular"/>
          <w:sz w:val="28"/>
          <w:szCs w:val="28"/>
          <w:lang w:eastAsia="en-US"/>
        </w:rPr>
        <w:t xml:space="preserve">, vai tas standarta vai </w:t>
      </w:r>
      <w:r w:rsidRPr="00D5589A">
        <w:rPr>
          <w:rFonts w:eastAsia="MyriadPro-Regular"/>
          <w:sz w:val="28"/>
          <w:szCs w:val="28"/>
          <w:lang w:eastAsia="en-US"/>
        </w:rPr>
        <w:t>platekrāna monitors! Kurā gadījumā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5589A">
        <w:rPr>
          <w:rFonts w:eastAsia="MyriadPro-Regular"/>
          <w:sz w:val="28"/>
          <w:szCs w:val="28"/>
          <w:lang w:eastAsia="en-US"/>
        </w:rPr>
        <w:t>ekrāna laukums ir lielā</w:t>
      </w:r>
      <w:r>
        <w:rPr>
          <w:rFonts w:eastAsia="MyriadPro-Regular"/>
          <w:sz w:val="28"/>
          <w:szCs w:val="28"/>
          <w:lang w:eastAsia="en-US"/>
        </w:rPr>
        <w:t xml:space="preserve">ks? </w:t>
      </w:r>
    </w:p>
    <w:p w:rsidR="002B36B7" w:rsidRPr="00D5589A" w:rsidRDefault="00D5589A" w:rsidP="00D5589A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D5589A">
        <w:rPr>
          <w:rFonts w:eastAsia="MyriadPro-Regular"/>
          <w:sz w:val="28"/>
          <w:szCs w:val="28"/>
          <w:lang w:eastAsia="en-US"/>
        </w:rPr>
        <w:t>(Standarta monitoram ekrā</w:t>
      </w:r>
      <w:r>
        <w:rPr>
          <w:rFonts w:eastAsia="MyriadPro-Regular"/>
          <w:sz w:val="28"/>
          <w:szCs w:val="28"/>
          <w:lang w:eastAsia="en-US"/>
        </w:rPr>
        <w:t xml:space="preserve">na malu </w:t>
      </w:r>
      <w:r w:rsidRPr="00D5589A">
        <w:rPr>
          <w:rFonts w:eastAsia="MyriadPro-Regular"/>
          <w:sz w:val="28"/>
          <w:szCs w:val="28"/>
          <w:lang w:eastAsia="en-US"/>
        </w:rPr>
        <w:t>garumi attiecas kā 5:4, bet platekrā</w:t>
      </w:r>
      <w:r>
        <w:rPr>
          <w:rFonts w:eastAsia="MyriadPro-Regular"/>
          <w:sz w:val="28"/>
          <w:szCs w:val="28"/>
          <w:lang w:eastAsia="en-US"/>
        </w:rPr>
        <w:t xml:space="preserve">na </w:t>
      </w:r>
      <w:r w:rsidRPr="00D5589A">
        <w:rPr>
          <w:rFonts w:eastAsia="MyriadPro-Regular"/>
          <w:sz w:val="28"/>
          <w:szCs w:val="28"/>
          <w:lang w:eastAsia="en-US"/>
        </w:rPr>
        <w:t>monitoram kā 8:5.)</w:t>
      </w:r>
    </w:p>
    <w:sectPr w:rsidR="002B36B7" w:rsidRPr="00D5589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5589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5589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5589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5589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1D43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020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B36B7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57AE0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3F8F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29AD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4B4F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A412C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5589A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2011-07-14T19:07:00Z</dcterms:created>
  <dcterms:modified xsi:type="dcterms:W3CDTF">2011-07-14T19:07:00Z</dcterms:modified>
</cp:coreProperties>
</file>