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C3F8F" w:rsidRPr="002B36B7" w:rsidRDefault="002B36B7" w:rsidP="002B36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Saskata Pitagora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teorēmas praktisko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pielietojumu ikdienā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taisna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nosprauš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u. c.) un atrisina praktiska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satura uzdevumus.</w:t>
      </w:r>
    </w:p>
    <w:p w:rsidR="002B36B7" w:rsidRPr="00DE1EA5" w:rsidRDefault="002B36B7" w:rsidP="002B36B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A412C" w:rsidRDefault="00E07BD8" w:rsidP="00633C3B">
      <w:pPr>
        <w:rPr>
          <w:i/>
          <w:sz w:val="28"/>
          <w:szCs w:val="28"/>
        </w:rPr>
      </w:pPr>
    </w:p>
    <w:p w:rsidR="002B36B7" w:rsidRPr="00164BC5" w:rsidRDefault="00164BC5" w:rsidP="00164BC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64BC5">
        <w:rPr>
          <w:rFonts w:eastAsia="MyriadPro-Regular"/>
          <w:sz w:val="28"/>
          <w:szCs w:val="28"/>
          <w:lang w:eastAsia="en-US"/>
        </w:rPr>
        <w:t>9.3. Apraksti situāciju no ikdienas dzīves, kurā jā</w:t>
      </w:r>
      <w:r>
        <w:rPr>
          <w:rFonts w:eastAsia="MyriadPro-Regular"/>
          <w:sz w:val="28"/>
          <w:szCs w:val="28"/>
          <w:lang w:eastAsia="en-US"/>
        </w:rPr>
        <w:t xml:space="preserve">lieto </w:t>
      </w:r>
      <w:r w:rsidRPr="00164BC5">
        <w:rPr>
          <w:rFonts w:eastAsia="MyriadPro-Regular"/>
          <w:sz w:val="28"/>
          <w:szCs w:val="28"/>
          <w:lang w:eastAsia="en-US"/>
        </w:rPr>
        <w:t>Pitagora teorēma! Ilustrē situāciju ar zīmējumu!</w:t>
      </w:r>
    </w:p>
    <w:sectPr w:rsidR="002B36B7" w:rsidRPr="00164BC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64BC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4BC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64BC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64BC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1D43"/>
    <w:rsid w:val="00143C82"/>
    <w:rsid w:val="00145382"/>
    <w:rsid w:val="00160838"/>
    <w:rsid w:val="001615AA"/>
    <w:rsid w:val="001620B8"/>
    <w:rsid w:val="00163341"/>
    <w:rsid w:val="00164BC5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020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B36B7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29AD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A412C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5589A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2011-07-14T19:08:00Z</dcterms:created>
  <dcterms:modified xsi:type="dcterms:W3CDTF">2011-07-14T19:08:00Z</dcterms:modified>
</cp:coreProperties>
</file>