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56A5" w:rsidRPr="00D75349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75349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proporcionāli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nogriežņi, 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trijstūri, līdzības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koeficients.</w:t>
      </w:r>
    </w:p>
    <w:p w:rsidR="00D75349" w:rsidRPr="00A456A5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7D4920" w:rsidRPr="00B04BE5" w:rsidRDefault="00B04BE5" w:rsidP="00B04BE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04BE5">
        <w:rPr>
          <w:rFonts w:eastAsia="MyriadPro-Regular"/>
          <w:sz w:val="28"/>
          <w:szCs w:val="28"/>
          <w:lang w:eastAsia="en-US"/>
        </w:rPr>
        <w:t>1.3. Dots trijstūris, kura divi leņķi ir 24° un 36°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B04BE5">
        <w:rPr>
          <w:rFonts w:eastAsia="MyriadPro-Regular"/>
          <w:sz w:val="28"/>
          <w:szCs w:val="28"/>
          <w:lang w:eastAsia="en-US"/>
        </w:rPr>
        <w:t>Aprēķini dotam trijstūrim līdzīga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B04BE5">
        <w:rPr>
          <w:rFonts w:eastAsia="MyriadPro-Regular"/>
          <w:sz w:val="28"/>
          <w:szCs w:val="28"/>
          <w:lang w:eastAsia="en-US"/>
        </w:rPr>
        <w:t xml:space="preserve">leņķus, ja līdzības koeficients ir </w:t>
      </w:r>
      <w:r w:rsidRPr="00B04BE5">
        <w:rPr>
          <w:rFonts w:eastAsia="MyriadPro-Regular"/>
          <w:i/>
          <w:iCs/>
          <w:sz w:val="28"/>
          <w:szCs w:val="28"/>
          <w:lang w:eastAsia="en-US"/>
        </w:rPr>
        <w:t xml:space="preserve">k </w:t>
      </w:r>
      <w:r w:rsidRPr="00B04BE5">
        <w:rPr>
          <w:rFonts w:eastAsia="MyriadPro-Regular"/>
          <w:sz w:val="28"/>
          <w:szCs w:val="28"/>
          <w:lang w:eastAsia="en-US"/>
        </w:rPr>
        <w:t>= 3!</w:t>
      </w:r>
    </w:p>
    <w:sectPr w:rsidR="007D4920" w:rsidRPr="00B04BE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04BE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04BE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04BE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04BE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F76B6"/>
    <w:rsid w:val="002010D7"/>
    <w:rsid w:val="0021578A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618C"/>
    <w:rsid w:val="0056382B"/>
    <w:rsid w:val="005652D0"/>
    <w:rsid w:val="00586F29"/>
    <w:rsid w:val="005A2753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2011-06-28T19:01:00Z</dcterms:created>
  <dcterms:modified xsi:type="dcterms:W3CDTF">2011-06-28T19:01:00Z</dcterms:modified>
</cp:coreProperties>
</file>