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C6F00" w:rsidRPr="007C6F00" w:rsidRDefault="007C6F00" w:rsidP="007C6F0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Izmanto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Talesa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teorēmu nogriežņa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sadalīšanai vienādā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daļās.</w:t>
      </w:r>
    </w:p>
    <w:p w:rsidR="007C6F00" w:rsidRDefault="007C6F00" w:rsidP="007C6F00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CF6776" w:rsidRDefault="00633C3B" w:rsidP="007C6F0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Pr="00824852" w:rsidRDefault="00F46520" w:rsidP="00BC0A09">
      <w:pPr>
        <w:rPr>
          <w:i/>
          <w:sz w:val="28"/>
          <w:szCs w:val="28"/>
        </w:rPr>
      </w:pPr>
    </w:p>
    <w:p w:rsidR="004B26F1" w:rsidRPr="004B26F1" w:rsidRDefault="004B26F1" w:rsidP="004B26F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B26F1">
        <w:rPr>
          <w:rFonts w:eastAsia="MyriadPro-Regular"/>
          <w:sz w:val="28"/>
          <w:szCs w:val="28"/>
          <w:lang w:eastAsia="en-US"/>
        </w:rPr>
        <w:t xml:space="preserve">6.4. Kādām </w:t>
      </w:r>
      <w:r w:rsidRPr="004B26F1">
        <w:rPr>
          <w:rFonts w:eastAsia="MyriadPro-Regular"/>
          <w:i/>
          <w:iCs/>
          <w:sz w:val="28"/>
          <w:szCs w:val="28"/>
          <w:lang w:eastAsia="en-US"/>
        </w:rPr>
        <w:t xml:space="preserve">n </w:t>
      </w:r>
      <w:r w:rsidRPr="004B26F1">
        <w:rPr>
          <w:rFonts w:eastAsia="MyriadPro-Regular"/>
          <w:sz w:val="28"/>
          <w:szCs w:val="28"/>
          <w:lang w:eastAsia="en-US"/>
        </w:rPr>
        <w:t>vērtībā</w:t>
      </w:r>
      <w:r>
        <w:rPr>
          <w:rFonts w:eastAsia="MyriadPro-Regular"/>
          <w:sz w:val="28"/>
          <w:szCs w:val="28"/>
          <w:lang w:eastAsia="en-US"/>
        </w:rPr>
        <w:t xml:space="preserve">m doto nogriezni var </w:t>
      </w:r>
      <w:r w:rsidRPr="004B26F1">
        <w:rPr>
          <w:rFonts w:eastAsia="MyriadPro-Regular"/>
          <w:sz w:val="28"/>
          <w:szCs w:val="28"/>
          <w:lang w:eastAsia="en-US"/>
        </w:rPr>
        <w:t xml:space="preserve">sadalīt </w:t>
      </w:r>
      <w:r w:rsidRPr="004B26F1">
        <w:rPr>
          <w:rFonts w:eastAsia="MyriadPro-Regular"/>
          <w:i/>
          <w:iCs/>
          <w:sz w:val="28"/>
          <w:szCs w:val="28"/>
          <w:lang w:eastAsia="en-US"/>
        </w:rPr>
        <w:t xml:space="preserve">n </w:t>
      </w:r>
      <w:r w:rsidRPr="004B26F1">
        <w:rPr>
          <w:rFonts w:eastAsia="MyriadPro-Regular"/>
          <w:sz w:val="28"/>
          <w:szCs w:val="28"/>
          <w:lang w:eastAsia="en-US"/>
        </w:rPr>
        <w:t>vienādās daļās, neizmantojot</w:t>
      </w:r>
    </w:p>
    <w:p w:rsidR="00A35E17" w:rsidRPr="004B26F1" w:rsidRDefault="004B26F1" w:rsidP="004B26F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proofErr w:type="spellStart"/>
      <w:r w:rsidRPr="004B26F1">
        <w:rPr>
          <w:rFonts w:eastAsia="MyriadPro-Regular"/>
          <w:sz w:val="28"/>
          <w:szCs w:val="28"/>
          <w:lang w:eastAsia="en-US"/>
        </w:rPr>
        <w:t>Talesa</w:t>
      </w:r>
      <w:proofErr w:type="spellEnd"/>
      <w:r w:rsidRPr="004B26F1">
        <w:rPr>
          <w:rFonts w:eastAsia="MyriadPro-Regular"/>
          <w:sz w:val="28"/>
          <w:szCs w:val="28"/>
          <w:lang w:eastAsia="en-US"/>
        </w:rPr>
        <w:t xml:space="preserve"> teorēmu un neveicot mērī</w:t>
      </w:r>
      <w:r>
        <w:rPr>
          <w:rFonts w:eastAsia="MyriadPro-Regular"/>
          <w:sz w:val="28"/>
          <w:szCs w:val="28"/>
          <w:lang w:eastAsia="en-US"/>
        </w:rPr>
        <w:t xml:space="preserve">jumus ar </w:t>
      </w:r>
      <w:r w:rsidRPr="004B26F1">
        <w:rPr>
          <w:rFonts w:eastAsia="MyriadPro-Regular"/>
          <w:sz w:val="28"/>
          <w:szCs w:val="28"/>
          <w:lang w:eastAsia="en-US"/>
        </w:rPr>
        <w:t>lineālu?</w:t>
      </w:r>
    </w:p>
    <w:sectPr w:rsidR="00A35E17" w:rsidRPr="004B26F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B26F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B26F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B26F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B26F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2011-06-28T19:33:00Z</dcterms:created>
  <dcterms:modified xsi:type="dcterms:W3CDTF">2011-06-28T19:33:00Z</dcterms:modified>
</cp:coreProperties>
</file>