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467D38" w:rsidRPr="00467D38" w:rsidRDefault="00467D38" w:rsidP="00467D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67D38">
        <w:rPr>
          <w:rFonts w:eastAsiaTheme="minorHAnsi"/>
          <w:b/>
          <w:bCs/>
          <w:sz w:val="28"/>
          <w:szCs w:val="28"/>
          <w:lang w:eastAsia="en-US"/>
        </w:rPr>
        <w:t>7.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par figūru līdzī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praktiska satura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uzdevumu risināšanā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(attāluma noteikš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dz nepieejamam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punktam, attālums</w:t>
      </w:r>
    </w:p>
    <w:p w:rsidR="007C6F00" w:rsidRPr="00467D38" w:rsidRDefault="00467D38" w:rsidP="00467D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67D38">
        <w:rPr>
          <w:rFonts w:eastAsiaTheme="minorHAnsi"/>
          <w:b/>
          <w:bCs/>
          <w:sz w:val="28"/>
          <w:szCs w:val="28"/>
          <w:lang w:eastAsia="en-US"/>
        </w:rPr>
        <w:t>dabā un kartē, 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nas </w:t>
      </w:r>
      <w:r w:rsidRPr="00467D38">
        <w:rPr>
          <w:rFonts w:eastAsiaTheme="minorHAnsi"/>
          <w:b/>
          <w:bCs/>
          <w:sz w:val="28"/>
          <w:szCs w:val="28"/>
          <w:lang w:eastAsia="en-US"/>
        </w:rPr>
        <w:t>garums u.tml.).</w:t>
      </w:r>
    </w:p>
    <w:p w:rsidR="00467D38" w:rsidRDefault="00467D38" w:rsidP="00467D38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CF6776" w:rsidRDefault="00633C3B" w:rsidP="007C6F0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Default="00F46520" w:rsidP="00BC0A09">
      <w:pPr>
        <w:rPr>
          <w:i/>
          <w:sz w:val="28"/>
          <w:szCs w:val="28"/>
        </w:rPr>
      </w:pPr>
    </w:p>
    <w:p w:rsidR="00467D38" w:rsidRDefault="00467D38" w:rsidP="00BC0A09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381250" cy="2253111"/>
            <wp:effectExtent l="19050" t="0" r="0" b="0"/>
            <wp:docPr id="1" name="Attēls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5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D38" w:rsidRPr="00824852" w:rsidRDefault="00467D38" w:rsidP="00BC0A09">
      <w:pPr>
        <w:rPr>
          <w:i/>
          <w:sz w:val="28"/>
          <w:szCs w:val="28"/>
        </w:rPr>
      </w:pPr>
    </w:p>
    <w:p w:rsidR="00A35E17" w:rsidRPr="00467D38" w:rsidRDefault="00467D38" w:rsidP="00467D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67D38">
        <w:rPr>
          <w:rFonts w:eastAsia="MyriadPro-Regular"/>
          <w:sz w:val="28"/>
          <w:szCs w:val="28"/>
          <w:lang w:eastAsia="en-US"/>
        </w:rPr>
        <w:t>7.1. Veicot nepieciešamos mērījumus un ievē</w:t>
      </w:r>
      <w:r>
        <w:rPr>
          <w:rFonts w:eastAsia="MyriadPro-Regular"/>
          <w:sz w:val="28"/>
          <w:szCs w:val="28"/>
          <w:lang w:eastAsia="en-US"/>
        </w:rPr>
        <w:t xml:space="preserve">rojot </w:t>
      </w:r>
      <w:r w:rsidRPr="00467D38">
        <w:rPr>
          <w:rFonts w:eastAsia="MyriadPro-Regular"/>
          <w:sz w:val="28"/>
          <w:szCs w:val="28"/>
          <w:lang w:eastAsia="en-US"/>
        </w:rPr>
        <w:t>doto mērogu, nosaki „trijstūra” Carnikava 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467D38">
        <w:rPr>
          <w:rFonts w:eastAsia="MyriadPro-Regular"/>
          <w:sz w:val="28"/>
          <w:szCs w:val="28"/>
          <w:lang w:eastAsia="en-US"/>
        </w:rPr>
        <w:t>Vangaži – Saulkrasti malu garumus dabā!</w:t>
      </w:r>
    </w:p>
    <w:sectPr w:rsidR="00A35E17" w:rsidRPr="00467D38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467D3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67D3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467D3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67D3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2011-06-28T19:35:00Z</dcterms:created>
  <dcterms:modified xsi:type="dcterms:W3CDTF">2011-06-28T19:35:00Z</dcterms:modified>
</cp:coreProperties>
</file>