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0FD5" w:rsidRPr="002B0FD5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Izmanto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algebriskos modeļus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(izteiksmes un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vienādojumus)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ģeometrijas</w:t>
      </w:r>
    </w:p>
    <w:p w:rsidR="006C4858" w:rsidRPr="002B0FD5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0FD5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2B0FD5" w:rsidRPr="00A80F94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2B0FD5" w:rsidRPr="00273754" w:rsidRDefault="00273754" w:rsidP="002737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73754">
        <w:rPr>
          <w:rFonts w:eastAsia="MyriadPro-Regular"/>
          <w:sz w:val="28"/>
          <w:szCs w:val="28"/>
          <w:lang w:eastAsia="en-US"/>
        </w:rPr>
        <w:t>8.3. Hipotenūza ir par 4 cm garāka nekā īsākā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73754">
        <w:rPr>
          <w:rFonts w:eastAsia="MyriadPro-Regular"/>
          <w:sz w:val="28"/>
          <w:szCs w:val="28"/>
          <w:lang w:eastAsia="en-US"/>
        </w:rPr>
        <w:t>katete. Aprēķini hipotenū</w:t>
      </w:r>
      <w:r>
        <w:rPr>
          <w:rFonts w:eastAsia="MyriadPro-Regular"/>
          <w:sz w:val="28"/>
          <w:szCs w:val="28"/>
          <w:lang w:eastAsia="en-US"/>
        </w:rPr>
        <w:t xml:space="preserve">zas garumu, ja </w:t>
      </w:r>
      <w:r w:rsidRPr="00273754">
        <w:rPr>
          <w:rFonts w:eastAsia="MyriadPro-Regular"/>
          <w:sz w:val="28"/>
          <w:szCs w:val="28"/>
          <w:lang w:eastAsia="en-US"/>
        </w:rPr>
        <w:t>viens no trijstūra šaurajiem leņķiem ir 30°!</w:t>
      </w:r>
    </w:p>
    <w:sectPr w:rsidR="002B0FD5" w:rsidRPr="0027375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7375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375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7375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7375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2011-06-28T20:25:00Z</dcterms:created>
  <dcterms:modified xsi:type="dcterms:W3CDTF">2011-06-28T20:25:00Z</dcterms:modified>
</cp:coreProperties>
</file>