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A80F94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TRIGONOMETRISKĀS SAKARĪBAS TAISNLEŅĶA TRIJSTŪRĪ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2B0FD5" w:rsidRPr="004F39D4" w:rsidRDefault="004F39D4" w:rsidP="004F39D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F39D4">
        <w:rPr>
          <w:rFonts w:eastAsiaTheme="minorHAnsi"/>
          <w:b/>
          <w:bCs/>
          <w:sz w:val="28"/>
          <w:szCs w:val="28"/>
          <w:lang w:eastAsia="en-US"/>
        </w:rPr>
        <w:t>9. Saskata iespē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jas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izmantot sakarī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taisnleņķa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F39D4">
        <w:rPr>
          <w:rFonts w:eastAsiaTheme="minorHAnsi"/>
          <w:b/>
          <w:bCs/>
          <w:sz w:val="28"/>
          <w:szCs w:val="28"/>
          <w:lang w:eastAsia="en-US"/>
        </w:rPr>
        <w:t>praktiskās situācijās.</w:t>
      </w:r>
    </w:p>
    <w:p w:rsidR="004F39D4" w:rsidRPr="00A80F94" w:rsidRDefault="004F39D4" w:rsidP="004F39D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E768B0" w:rsidRPr="00B117F4" w:rsidRDefault="00E768B0" w:rsidP="00BC0A09">
      <w:pPr>
        <w:rPr>
          <w:i/>
          <w:sz w:val="28"/>
          <w:szCs w:val="28"/>
        </w:rPr>
      </w:pPr>
    </w:p>
    <w:p w:rsidR="004F39D4" w:rsidRDefault="002840AD" w:rsidP="002840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2840AD">
        <w:rPr>
          <w:rFonts w:eastAsia="MyriadPro-Regular"/>
          <w:sz w:val="28"/>
          <w:szCs w:val="28"/>
          <w:lang w:eastAsia="en-US"/>
        </w:rPr>
        <w:t>9.2. Viena no loka šaušanas disciplīnām ir šauš</w:t>
      </w:r>
      <w:r>
        <w:rPr>
          <w:rFonts w:eastAsia="MyriadPro-Regular"/>
          <w:sz w:val="28"/>
          <w:szCs w:val="28"/>
          <w:lang w:eastAsia="en-US"/>
        </w:rPr>
        <w:t xml:space="preserve">ana </w:t>
      </w:r>
      <w:r w:rsidRPr="002840AD">
        <w:rPr>
          <w:rFonts w:eastAsia="MyriadPro-Regular"/>
          <w:sz w:val="28"/>
          <w:szCs w:val="28"/>
          <w:lang w:eastAsia="en-US"/>
        </w:rPr>
        <w:t>no 50 metru attāluma apaļā mērķī</w:t>
      </w:r>
      <w:r>
        <w:rPr>
          <w:rFonts w:eastAsia="MyriadPro-Regular"/>
          <w:sz w:val="28"/>
          <w:szCs w:val="28"/>
          <w:lang w:eastAsia="en-US"/>
        </w:rPr>
        <w:t xml:space="preserve">, kura </w:t>
      </w:r>
      <w:r w:rsidRPr="002840AD">
        <w:rPr>
          <w:rFonts w:eastAsia="MyriadPro-Regular"/>
          <w:sz w:val="28"/>
          <w:szCs w:val="28"/>
          <w:lang w:eastAsia="en-US"/>
        </w:rPr>
        <w:t>diametrs ir 80 centimetri. Šāvēji katrā šāvienā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840AD">
        <w:rPr>
          <w:rFonts w:eastAsia="MyriadPro-Regular"/>
          <w:sz w:val="28"/>
          <w:szCs w:val="28"/>
          <w:lang w:eastAsia="en-US"/>
        </w:rPr>
        <w:t>cenšas trāpīt tieši mērķa centrā. Aprēķini, par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840AD">
        <w:rPr>
          <w:rFonts w:eastAsia="MyriadPro-Regular"/>
          <w:sz w:val="28"/>
          <w:szCs w:val="28"/>
          <w:lang w:eastAsia="en-US"/>
        </w:rPr>
        <w:t>kādu leņķi no centra ir novirzī</w:t>
      </w:r>
      <w:r>
        <w:rPr>
          <w:rFonts w:eastAsia="MyriadPro-Regular"/>
          <w:sz w:val="28"/>
          <w:szCs w:val="28"/>
          <w:lang w:eastAsia="en-US"/>
        </w:rPr>
        <w:t xml:space="preserve">jusies bulta, ja </w:t>
      </w:r>
      <w:r w:rsidRPr="002840AD">
        <w:rPr>
          <w:rFonts w:eastAsia="MyriadPro-Regular"/>
          <w:sz w:val="28"/>
          <w:szCs w:val="28"/>
          <w:lang w:eastAsia="en-US"/>
        </w:rPr>
        <w:t xml:space="preserve">tā trāpījusi mērķa malā, piemēram, punktā </w:t>
      </w:r>
      <w:r w:rsidRPr="002840AD">
        <w:rPr>
          <w:rFonts w:eastAsia="MyriadPro-Regular"/>
          <w:i/>
          <w:iCs/>
          <w:sz w:val="28"/>
          <w:szCs w:val="28"/>
          <w:lang w:eastAsia="en-US"/>
        </w:rPr>
        <w:t>A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2840AD">
        <w:rPr>
          <w:rFonts w:eastAsia="MyriadPro-Regular"/>
          <w:sz w:val="28"/>
          <w:szCs w:val="28"/>
          <w:lang w:eastAsia="en-US"/>
        </w:rPr>
        <w:t>(sk. zīm.)!</w:t>
      </w:r>
    </w:p>
    <w:p w:rsidR="002840AD" w:rsidRDefault="002840AD" w:rsidP="002840A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2840AD" w:rsidRPr="002840AD" w:rsidRDefault="002840AD" w:rsidP="002840AD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04950" cy="1315438"/>
            <wp:effectExtent l="19050" t="0" r="0" b="0"/>
            <wp:docPr id="129" name="Attēls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1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40AD" w:rsidRPr="002840A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2840A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840A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2840A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840A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D436C"/>
    <w:rsid w:val="002E596E"/>
    <w:rsid w:val="002F0C59"/>
    <w:rsid w:val="002F2D8E"/>
    <w:rsid w:val="00300FB0"/>
    <w:rsid w:val="00314F31"/>
    <w:rsid w:val="0031756E"/>
    <w:rsid w:val="00317C55"/>
    <w:rsid w:val="00330500"/>
    <w:rsid w:val="00336EC8"/>
    <w:rsid w:val="00342B42"/>
    <w:rsid w:val="00364A1B"/>
    <w:rsid w:val="0036668B"/>
    <w:rsid w:val="003750B6"/>
    <w:rsid w:val="00375662"/>
    <w:rsid w:val="0037569A"/>
    <w:rsid w:val="003837B9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578F"/>
    <w:rsid w:val="00510582"/>
    <w:rsid w:val="00515506"/>
    <w:rsid w:val="0052618C"/>
    <w:rsid w:val="00557F37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6071F"/>
    <w:rsid w:val="006A26C5"/>
    <w:rsid w:val="006C4858"/>
    <w:rsid w:val="006F034A"/>
    <w:rsid w:val="006F07F2"/>
    <w:rsid w:val="006F4111"/>
    <w:rsid w:val="00703118"/>
    <w:rsid w:val="007217DD"/>
    <w:rsid w:val="007463C7"/>
    <w:rsid w:val="00781B2F"/>
    <w:rsid w:val="00795C2E"/>
    <w:rsid w:val="007A0236"/>
    <w:rsid w:val="007B3B50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B0092"/>
    <w:rsid w:val="009E08E0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B01122"/>
    <w:rsid w:val="00B04BE5"/>
    <w:rsid w:val="00B117F4"/>
    <w:rsid w:val="00B22563"/>
    <w:rsid w:val="00B5352F"/>
    <w:rsid w:val="00B7267A"/>
    <w:rsid w:val="00B87ABA"/>
    <w:rsid w:val="00B92776"/>
    <w:rsid w:val="00BA7EA7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75349"/>
    <w:rsid w:val="00D85C4D"/>
    <w:rsid w:val="00DE5283"/>
    <w:rsid w:val="00DF3DF8"/>
    <w:rsid w:val="00E21E5A"/>
    <w:rsid w:val="00E53D45"/>
    <w:rsid w:val="00E62F4C"/>
    <w:rsid w:val="00E702ED"/>
    <w:rsid w:val="00E76378"/>
    <w:rsid w:val="00E768B0"/>
    <w:rsid w:val="00E810A9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2011-06-28T20:29:00Z</dcterms:created>
  <dcterms:modified xsi:type="dcterms:W3CDTF">2011-06-28T20:29:00Z</dcterms:modified>
</cp:coreProperties>
</file>