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6E667C" w:rsidRPr="006E667C" w:rsidRDefault="006E667C" w:rsidP="006E667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11. Pamato </w:t>
      </w:r>
      <w:r w:rsidRPr="006E667C">
        <w:rPr>
          <w:rFonts w:eastAsiaTheme="minorHAnsi"/>
          <w:b/>
          <w:bCs/>
          <w:sz w:val="28"/>
          <w:szCs w:val="28"/>
          <w:lang w:eastAsia="en-US"/>
        </w:rPr>
        <w:t>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E667C">
        <w:rPr>
          <w:rFonts w:eastAsiaTheme="minorHAnsi"/>
          <w:b/>
          <w:bCs/>
          <w:sz w:val="28"/>
          <w:szCs w:val="28"/>
          <w:lang w:eastAsia="en-US"/>
        </w:rPr>
        <w:t>sistē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mas </w:t>
      </w:r>
      <w:r w:rsidRPr="006E667C">
        <w:rPr>
          <w:rFonts w:eastAsiaTheme="minorHAnsi"/>
          <w:b/>
          <w:bCs/>
          <w:sz w:val="28"/>
          <w:szCs w:val="28"/>
          <w:lang w:eastAsia="en-US"/>
        </w:rPr>
        <w:t>atrisināšanas metož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E667C">
        <w:rPr>
          <w:rFonts w:eastAsiaTheme="minorHAnsi"/>
          <w:b/>
          <w:bCs/>
          <w:sz w:val="28"/>
          <w:szCs w:val="28"/>
          <w:lang w:eastAsia="en-US"/>
        </w:rPr>
        <w:t>priekšrocības un</w:t>
      </w:r>
    </w:p>
    <w:p w:rsidR="00E65204" w:rsidRPr="006E667C" w:rsidRDefault="006E667C" w:rsidP="006E667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E667C">
        <w:rPr>
          <w:rFonts w:eastAsiaTheme="minorHAnsi"/>
          <w:b/>
          <w:bCs/>
          <w:sz w:val="28"/>
          <w:szCs w:val="28"/>
          <w:lang w:eastAsia="en-US"/>
        </w:rPr>
        <w:t>trūkumus konkrē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tos </w:t>
      </w:r>
      <w:r w:rsidRPr="006E667C">
        <w:rPr>
          <w:rFonts w:eastAsiaTheme="minorHAnsi"/>
          <w:b/>
          <w:bCs/>
          <w:sz w:val="28"/>
          <w:szCs w:val="28"/>
          <w:lang w:eastAsia="en-US"/>
        </w:rPr>
        <w:t>piemēros.</w:t>
      </w:r>
    </w:p>
    <w:p w:rsidR="006E667C" w:rsidRPr="006F6458" w:rsidRDefault="006E667C" w:rsidP="006E667C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467936" w:rsidRDefault="00082E80" w:rsidP="00DF434D">
      <w:pPr>
        <w:rPr>
          <w:i/>
          <w:sz w:val="28"/>
          <w:szCs w:val="28"/>
        </w:rPr>
      </w:pPr>
    </w:p>
    <w:p w:rsidR="00D3151F" w:rsidRDefault="00D3151F" w:rsidP="00D3151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3151F">
        <w:rPr>
          <w:rFonts w:eastAsia="MyriadPro-Regular"/>
          <w:sz w:val="28"/>
          <w:szCs w:val="28"/>
          <w:lang w:eastAsia="en-US"/>
        </w:rPr>
        <w:t>11.3. Gintam un Gintai kontroldarbā</w:t>
      </w:r>
      <w:r>
        <w:rPr>
          <w:rFonts w:eastAsia="MyriadPro-Regular"/>
          <w:sz w:val="28"/>
          <w:szCs w:val="28"/>
          <w:lang w:eastAsia="en-US"/>
        </w:rPr>
        <w:t xml:space="preserve"> bija </w:t>
      </w:r>
      <w:r w:rsidRPr="00D3151F">
        <w:rPr>
          <w:rFonts w:eastAsia="MyriadPro-Regular"/>
          <w:sz w:val="28"/>
          <w:szCs w:val="28"/>
          <w:lang w:eastAsia="en-US"/>
        </w:rPr>
        <w:t>jānosaka vienādojumu sistēmas:</w:t>
      </w:r>
    </w:p>
    <w:p w:rsidR="00BE5C0F" w:rsidRDefault="00BE5C0F" w:rsidP="00D3151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BE5C0F">
        <w:rPr>
          <w:rFonts w:eastAsia="MyriadPro-Regular"/>
          <w:position w:val="-30"/>
          <w:sz w:val="28"/>
          <w:szCs w:val="28"/>
          <w:lang w:eastAsia="en-US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7pt;height:36pt" o:ole="">
            <v:imagedata r:id="rId8" o:title=""/>
          </v:shape>
          <o:OLEObject Type="Embed" ProgID="Equation.3" ShapeID="_x0000_i1037" DrawAspect="Content" ObjectID="_1376341376" r:id="rId9"/>
        </w:object>
      </w:r>
    </w:p>
    <w:p w:rsidR="00BE5C0F" w:rsidRDefault="00BE5C0F" w:rsidP="00D3151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</w:t>
      </w:r>
      <w:r w:rsidRPr="00BE5C0F">
        <w:rPr>
          <w:rFonts w:eastAsia="MyriadPro-Regular"/>
          <w:sz w:val="28"/>
          <w:szCs w:val="28"/>
          <w:lang w:eastAsia="en-US"/>
        </w:rPr>
        <w:t xml:space="preserve"> </w:t>
      </w:r>
      <w:r w:rsidRPr="00BE5C0F">
        <w:rPr>
          <w:rFonts w:eastAsia="MyriadPro-Regular"/>
          <w:position w:val="-30"/>
          <w:sz w:val="28"/>
          <w:szCs w:val="28"/>
          <w:lang w:eastAsia="en-US"/>
        </w:rPr>
        <w:object w:dxaOrig="1140" w:dyaOrig="720">
          <v:shape id="_x0000_i1038" type="#_x0000_t75" style="width:57pt;height:36pt" o:ole="">
            <v:imagedata r:id="rId10" o:title=""/>
          </v:shape>
          <o:OLEObject Type="Embed" ProgID="Equation.3" ShapeID="_x0000_i1038" DrawAspect="Content" ObjectID="_1376341377" r:id="rId11"/>
        </w:object>
      </w:r>
    </w:p>
    <w:p w:rsidR="00D3151F" w:rsidRPr="00D3151F" w:rsidRDefault="00D3151F" w:rsidP="00D3151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D3151F" w:rsidRDefault="00D3151F" w:rsidP="00D3151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D3151F" w:rsidRPr="00D3151F" w:rsidRDefault="00D3151F" w:rsidP="00D3151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3151F">
        <w:rPr>
          <w:rFonts w:eastAsia="MyriadPro-Regular"/>
          <w:sz w:val="28"/>
          <w:szCs w:val="28"/>
          <w:lang w:eastAsia="en-US"/>
        </w:rPr>
        <w:t>atrisinājumu skaits.</w:t>
      </w:r>
    </w:p>
    <w:p w:rsidR="00D3151F" w:rsidRPr="00D3151F" w:rsidRDefault="00D3151F" w:rsidP="00D3151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3151F">
        <w:rPr>
          <w:rFonts w:eastAsia="MyriadPro-Regular"/>
          <w:sz w:val="28"/>
          <w:szCs w:val="28"/>
          <w:lang w:eastAsia="en-US"/>
        </w:rPr>
        <w:t>Ginta abos gadī</w:t>
      </w:r>
      <w:r>
        <w:rPr>
          <w:rFonts w:eastAsia="MyriadPro-Regular"/>
          <w:sz w:val="28"/>
          <w:szCs w:val="28"/>
          <w:lang w:eastAsia="en-US"/>
        </w:rPr>
        <w:t xml:space="preserve">jumos izmantoja grafisko </w:t>
      </w:r>
      <w:r w:rsidRPr="00D3151F">
        <w:rPr>
          <w:rFonts w:eastAsia="MyriadPro-Regular"/>
          <w:sz w:val="28"/>
          <w:szCs w:val="28"/>
          <w:lang w:eastAsia="en-US"/>
        </w:rPr>
        <w:t>paņēmienu, bet Gints abos gadījumos</w:t>
      </w:r>
    </w:p>
    <w:p w:rsidR="00467936" w:rsidRPr="00D3151F" w:rsidRDefault="00D3151F" w:rsidP="00D3151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3151F">
        <w:rPr>
          <w:rFonts w:eastAsia="MyriadPro-Regular"/>
          <w:sz w:val="28"/>
          <w:szCs w:val="28"/>
          <w:lang w:eastAsia="en-US"/>
        </w:rPr>
        <w:t>izmantoja ievietošanas paņēmienu. Kurš</w:t>
      </w:r>
      <w:r>
        <w:rPr>
          <w:rFonts w:eastAsia="MyriadPro-Regular"/>
          <w:sz w:val="28"/>
          <w:szCs w:val="28"/>
          <w:lang w:eastAsia="en-US"/>
        </w:rPr>
        <w:t xml:space="preserve"> no </w:t>
      </w:r>
      <w:r w:rsidRPr="00D3151F">
        <w:rPr>
          <w:rFonts w:eastAsia="MyriadPro-Regular"/>
          <w:sz w:val="28"/>
          <w:szCs w:val="28"/>
          <w:lang w:eastAsia="en-US"/>
        </w:rPr>
        <w:t>skolēniem, tavuprāt, izvēlējās racionālā</w:t>
      </w:r>
      <w:r>
        <w:rPr>
          <w:rFonts w:eastAsia="MyriadPro-Regular"/>
          <w:sz w:val="28"/>
          <w:szCs w:val="28"/>
          <w:lang w:eastAsia="en-US"/>
        </w:rPr>
        <w:t xml:space="preserve">ko </w:t>
      </w:r>
      <w:r w:rsidRPr="00D3151F">
        <w:rPr>
          <w:rFonts w:eastAsia="MyriadPro-Regular"/>
          <w:sz w:val="28"/>
          <w:szCs w:val="28"/>
          <w:lang w:eastAsia="en-US"/>
        </w:rPr>
        <w:t>paņēmienu? Atbildi pamato.</w:t>
      </w:r>
    </w:p>
    <w:sectPr w:rsidR="00467936" w:rsidRPr="00D3151F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45F2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E5C0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45F2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5C0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E5C0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045F25" w:rsidRPr="00045F2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E5C0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45F25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E5C0F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3E9C-2EF7-47F1-9DE7-642C1045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2011-06-30T10:26:00Z</dcterms:created>
  <dcterms:modified xsi:type="dcterms:W3CDTF">2011-08-31T21:17:00Z</dcterms:modified>
</cp:coreProperties>
</file>