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A1591C" w:rsidRDefault="001F7705" w:rsidP="001F7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7705">
        <w:rPr>
          <w:rFonts w:eastAsia="MyriadPro-Regular"/>
          <w:sz w:val="28"/>
          <w:szCs w:val="28"/>
          <w:lang w:eastAsia="en-US"/>
        </w:rPr>
        <w:t>2.7. Izpēti vienādojumu sistēmas atrisinā</w:t>
      </w:r>
      <w:r>
        <w:rPr>
          <w:rFonts w:eastAsia="MyriadPro-Regular"/>
          <w:sz w:val="28"/>
          <w:szCs w:val="28"/>
          <w:lang w:eastAsia="en-US"/>
        </w:rPr>
        <w:t xml:space="preserve">jumu </w:t>
      </w:r>
      <w:r w:rsidRPr="001F7705">
        <w:rPr>
          <w:rFonts w:eastAsia="MyriadPro-Regular"/>
          <w:sz w:val="28"/>
          <w:szCs w:val="28"/>
          <w:lang w:eastAsia="en-US"/>
        </w:rPr>
        <w:t xml:space="preserve">skaitu, atkarībā no koeficienta </w:t>
      </w:r>
      <w:r w:rsidRPr="001F7705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1F7705">
        <w:rPr>
          <w:rFonts w:eastAsia="MyriadPro-Regular"/>
          <w:sz w:val="28"/>
          <w:szCs w:val="28"/>
          <w:lang w:eastAsia="en-US"/>
        </w:rPr>
        <w:t>!</w:t>
      </w:r>
    </w:p>
    <w:p w:rsidR="00A53C08" w:rsidRDefault="00A53C08" w:rsidP="001F7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53C08">
        <w:rPr>
          <w:rFonts w:eastAsia="MyriadPro-Regular"/>
          <w:position w:val="-30"/>
          <w:sz w:val="28"/>
          <w:szCs w:val="28"/>
          <w:lang w:eastAsia="en-US"/>
        </w:rPr>
        <w:object w:dxaOrig="1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0.25pt;height:36pt" o:ole="">
            <v:imagedata r:id="rId8" o:title=""/>
          </v:shape>
          <o:OLEObject Type="Embed" ProgID="Equation.3" ShapeID="_x0000_i1032" DrawAspect="Content" ObjectID="_1376339562" r:id="rId9"/>
        </w:object>
      </w:r>
    </w:p>
    <w:p w:rsidR="001F7705" w:rsidRDefault="001F7705" w:rsidP="001F77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F4365" w:rsidRPr="008F4365" w:rsidRDefault="008F4365" w:rsidP="008F4365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 w:rsidRPr="008F4365">
        <w:rPr>
          <w:rFonts w:eastAsiaTheme="minorHAnsi"/>
          <w:i/>
          <w:iCs/>
          <w:sz w:val="28"/>
          <w:szCs w:val="28"/>
          <w:lang w:eastAsia="en-US"/>
        </w:rPr>
        <w:t>Ieteicams izmantot animā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ciju, kur, ievadot </w:t>
      </w:r>
      <w:r w:rsidRPr="008F4365">
        <w:rPr>
          <w:rFonts w:eastAsiaTheme="minorHAnsi"/>
          <w:i/>
          <w:iCs/>
          <w:sz w:val="28"/>
          <w:szCs w:val="28"/>
          <w:lang w:eastAsia="en-US"/>
        </w:rPr>
        <w:t>dažādus koeficientus, mainās parabolas un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8F4365">
        <w:rPr>
          <w:rFonts w:eastAsiaTheme="minorHAnsi"/>
          <w:i/>
          <w:iCs/>
          <w:sz w:val="28"/>
          <w:szCs w:val="28"/>
          <w:lang w:eastAsia="en-US"/>
        </w:rPr>
        <w:t>taisnes savstarpē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jais novietojums. Uzdevums </w:t>
      </w:r>
      <w:r w:rsidRPr="008F4365">
        <w:rPr>
          <w:rFonts w:eastAsiaTheme="minorHAnsi"/>
          <w:i/>
          <w:iCs/>
          <w:sz w:val="28"/>
          <w:szCs w:val="28"/>
          <w:lang w:eastAsia="en-US"/>
        </w:rPr>
        <w:t>būs izpildīts, ja skolēni sapratīs, ka var iegū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t 0, </w:t>
      </w:r>
      <w:r w:rsidRPr="008F4365">
        <w:rPr>
          <w:rFonts w:eastAsiaTheme="minorHAnsi"/>
          <w:i/>
          <w:iCs/>
          <w:sz w:val="28"/>
          <w:szCs w:val="28"/>
          <w:lang w:eastAsia="en-US"/>
        </w:rPr>
        <w:t>1 vai 2 atrisinājumus.</w:t>
      </w:r>
    </w:p>
    <w:sectPr w:rsidR="008F4365" w:rsidRPr="008F4365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6358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53C0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6358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53C0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53C0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B63584" w:rsidRPr="00B6358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53C0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53C08"/>
    <w:rsid w:val="00A64E57"/>
    <w:rsid w:val="00A70166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63584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0A3F-B82A-46E9-A043-CED414E6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2011-06-29T12:36:00Z</dcterms:created>
  <dcterms:modified xsi:type="dcterms:W3CDTF">2011-08-31T20:46:00Z</dcterms:modified>
</cp:coreProperties>
</file>