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F24FB0" w:rsidRPr="00F24FB0" w:rsidRDefault="00F24FB0" w:rsidP="00F24FB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24FB0">
        <w:rPr>
          <w:rFonts w:eastAsiaTheme="minorHAnsi"/>
          <w:b/>
          <w:bCs/>
          <w:sz w:val="28"/>
          <w:szCs w:val="28"/>
          <w:lang w:eastAsia="en-US"/>
        </w:rPr>
        <w:t>4. Secina par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F24FB0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F24FB0">
        <w:rPr>
          <w:rFonts w:eastAsiaTheme="minorHAnsi"/>
          <w:b/>
          <w:bCs/>
          <w:sz w:val="28"/>
          <w:szCs w:val="28"/>
          <w:lang w:eastAsia="en-US"/>
        </w:rPr>
        <w:t>sistēmas atrisinā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 </w:t>
      </w:r>
      <w:r w:rsidRPr="00F24FB0">
        <w:rPr>
          <w:rFonts w:eastAsiaTheme="minorHAnsi"/>
          <w:b/>
          <w:bCs/>
          <w:sz w:val="28"/>
          <w:szCs w:val="28"/>
          <w:lang w:eastAsia="en-US"/>
        </w:rPr>
        <w:t>skaitu, izmantojot</w:t>
      </w:r>
    </w:p>
    <w:p w:rsidR="00ED1323" w:rsidRPr="00F24FB0" w:rsidRDefault="00F24FB0" w:rsidP="00F24FB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24FB0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dojuma grafisko </w:t>
      </w:r>
      <w:r w:rsidRPr="00F24FB0">
        <w:rPr>
          <w:rFonts w:eastAsiaTheme="minorHAnsi"/>
          <w:b/>
          <w:bCs/>
          <w:sz w:val="28"/>
          <w:szCs w:val="28"/>
          <w:lang w:eastAsia="en-US"/>
        </w:rPr>
        <w:t>attēlu.</w:t>
      </w:r>
    </w:p>
    <w:p w:rsidR="006F6458" w:rsidRPr="006F6458" w:rsidRDefault="006F6458" w:rsidP="006F645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F24FB0" w:rsidRPr="00F24FB0" w:rsidRDefault="00F24FB0" w:rsidP="00F24FB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24FB0">
        <w:rPr>
          <w:rFonts w:eastAsia="MyriadPro-Regular"/>
          <w:sz w:val="28"/>
          <w:szCs w:val="28"/>
          <w:lang w:eastAsia="en-US"/>
        </w:rPr>
        <w:t>4.1. Vēro zīmējumu un papildini secinā</w:t>
      </w:r>
      <w:r>
        <w:rPr>
          <w:rFonts w:eastAsia="MyriadPro-Regular"/>
          <w:sz w:val="28"/>
          <w:szCs w:val="28"/>
          <w:lang w:eastAsia="en-US"/>
        </w:rPr>
        <w:t xml:space="preserve">jumus par </w:t>
      </w:r>
      <w:r w:rsidRPr="00F24FB0">
        <w:rPr>
          <w:rFonts w:eastAsia="MyriadPro-Regular"/>
          <w:sz w:val="28"/>
          <w:szCs w:val="28"/>
          <w:lang w:eastAsia="en-US"/>
        </w:rPr>
        <w:t>lineāru vienādojumu sistēmas atrisinā</w:t>
      </w:r>
      <w:r>
        <w:rPr>
          <w:rFonts w:eastAsia="MyriadPro-Regular"/>
          <w:sz w:val="28"/>
          <w:szCs w:val="28"/>
          <w:lang w:eastAsia="en-US"/>
        </w:rPr>
        <w:t xml:space="preserve">jumu </w:t>
      </w:r>
      <w:r w:rsidRPr="00F24FB0">
        <w:rPr>
          <w:rFonts w:eastAsia="MyriadPro-Regular"/>
          <w:sz w:val="28"/>
          <w:szCs w:val="28"/>
          <w:lang w:eastAsia="en-US"/>
        </w:rPr>
        <w:t>skaitu!</w:t>
      </w:r>
    </w:p>
    <w:p w:rsidR="00F24FB0" w:rsidRDefault="00F24FB0" w:rsidP="00F24FB0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972766" cy="139065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66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FB0" w:rsidRPr="00F24FB0" w:rsidRDefault="00F24FB0" w:rsidP="00F24FB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24FB0">
        <w:rPr>
          <w:rFonts w:eastAsia="MyriadPro-Regular"/>
          <w:sz w:val="28"/>
          <w:szCs w:val="28"/>
          <w:lang w:eastAsia="en-US"/>
        </w:rPr>
        <w:t>a) Ja lineāru vienādojumu sistēmas vienā</w:t>
      </w:r>
      <w:r>
        <w:rPr>
          <w:rFonts w:eastAsia="MyriadPro-Regular"/>
          <w:sz w:val="28"/>
          <w:szCs w:val="28"/>
          <w:lang w:eastAsia="en-US"/>
        </w:rPr>
        <w:t xml:space="preserve">dojumu </w:t>
      </w:r>
      <w:r w:rsidRPr="00F24FB0">
        <w:rPr>
          <w:rFonts w:eastAsia="MyriadPro-Regular"/>
          <w:sz w:val="28"/>
          <w:szCs w:val="28"/>
          <w:lang w:eastAsia="en-US"/>
        </w:rPr>
        <w:t>grafiki ir krustiskas taisnes, tad sistē</w:t>
      </w:r>
      <w:r>
        <w:rPr>
          <w:rFonts w:eastAsia="MyriadPro-Regular"/>
          <w:sz w:val="28"/>
          <w:szCs w:val="28"/>
          <w:lang w:eastAsia="en-US"/>
        </w:rPr>
        <w:t xml:space="preserve">mai </w:t>
      </w:r>
      <w:r w:rsidRPr="00F24FB0">
        <w:rPr>
          <w:rFonts w:eastAsia="MyriadPro-Regular"/>
          <w:sz w:val="28"/>
          <w:szCs w:val="28"/>
          <w:lang w:eastAsia="en-US"/>
        </w:rPr>
        <w:t>.................</w:t>
      </w:r>
    </w:p>
    <w:p w:rsidR="00082E80" w:rsidRPr="00F24FB0" w:rsidRDefault="00F24FB0" w:rsidP="00F24FB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24FB0">
        <w:rPr>
          <w:rFonts w:eastAsia="MyriadPro-Regular"/>
          <w:sz w:val="28"/>
          <w:szCs w:val="28"/>
          <w:lang w:eastAsia="en-US"/>
        </w:rPr>
        <w:t>b) Ja lineāru vienādojumu sistēmas vienā</w:t>
      </w:r>
      <w:r>
        <w:rPr>
          <w:rFonts w:eastAsia="MyriadPro-Regular"/>
          <w:sz w:val="28"/>
          <w:szCs w:val="28"/>
          <w:lang w:eastAsia="en-US"/>
        </w:rPr>
        <w:t xml:space="preserve">dojumu </w:t>
      </w:r>
      <w:r w:rsidRPr="00F24FB0">
        <w:rPr>
          <w:rFonts w:eastAsia="MyriadPro-Regular"/>
          <w:sz w:val="28"/>
          <w:szCs w:val="28"/>
          <w:lang w:eastAsia="en-US"/>
        </w:rPr>
        <w:t>grafiki ir paralēlas taisnes, tad sistē</w:t>
      </w:r>
      <w:r>
        <w:rPr>
          <w:rFonts w:eastAsia="MyriadPro-Regular"/>
          <w:sz w:val="28"/>
          <w:szCs w:val="28"/>
          <w:lang w:eastAsia="en-US"/>
        </w:rPr>
        <w:t xml:space="preserve">mai </w:t>
      </w:r>
      <w:r w:rsidRPr="00F24FB0">
        <w:rPr>
          <w:rFonts w:eastAsia="MyriadPro-Regular"/>
          <w:sz w:val="28"/>
          <w:szCs w:val="28"/>
          <w:lang w:eastAsia="en-US"/>
        </w:rPr>
        <w:t>.................</w:t>
      </w:r>
    </w:p>
    <w:sectPr w:rsidR="00082E80" w:rsidRPr="00F24FB0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24FB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4FB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24FB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24F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9F2B-1962-4440-9601-BB9A4419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2011-06-29T12:43:00Z</dcterms:created>
  <dcterms:modified xsi:type="dcterms:W3CDTF">2011-06-29T12:43:00Z</dcterms:modified>
</cp:coreProperties>
</file>